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C6" w:rsidRDefault="00F2209F" w:rsidP="006D66F3">
      <w:pPr>
        <w:pBdr>
          <w:top w:val="single" w:sz="4" w:space="2"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Trainer/</w:t>
      </w:r>
      <w:r w:rsidR="000437E9">
        <w:rPr>
          <w:rFonts w:ascii="Calibri" w:hAnsi="Calibri"/>
          <w:b/>
          <w:sz w:val="22"/>
          <w:szCs w:val="22"/>
        </w:rPr>
        <w:t xml:space="preserve">Assessor: </w:t>
      </w:r>
      <w:r w:rsidR="00C76C82">
        <w:rPr>
          <w:rFonts w:ascii="Calibri" w:hAnsi="Calibri"/>
          <w:b/>
          <w:sz w:val="22"/>
          <w:szCs w:val="22"/>
        </w:rPr>
        <w:t>Plumbing &amp; Heating</w:t>
      </w:r>
      <w:r w:rsidR="006D66F3">
        <w:rPr>
          <w:rFonts w:ascii="Calibri" w:hAnsi="Calibri"/>
          <w:b/>
          <w:sz w:val="22"/>
          <w:szCs w:val="22"/>
        </w:rPr>
        <w:t xml:space="preserve"> (x2)</w:t>
      </w:r>
    </w:p>
    <w:p w:rsidR="00712DC6" w:rsidRDefault="00712DC6" w:rsidP="00712DC6">
      <w:pPr>
        <w:pBdr>
          <w:top w:val="single" w:sz="4" w:space="2" w:color="auto"/>
          <w:left w:val="single" w:sz="4" w:space="4" w:color="auto"/>
          <w:bottom w:val="single" w:sz="4" w:space="1" w:color="auto"/>
          <w:right w:val="single" w:sz="4" w:space="4" w:color="auto"/>
        </w:pBdr>
        <w:shd w:val="clear" w:color="auto" w:fill="000000"/>
        <w:rPr>
          <w:rFonts w:ascii="Calibri" w:hAnsi="Calibri"/>
          <w:b/>
          <w:sz w:val="22"/>
          <w:szCs w:val="22"/>
        </w:rPr>
      </w:pPr>
      <w:r>
        <w:rPr>
          <w:rFonts w:ascii="Calibri" w:hAnsi="Calibri"/>
          <w:b/>
          <w:sz w:val="22"/>
          <w:szCs w:val="22"/>
        </w:rPr>
        <w:t>X1 37 hours full time permanent.</w:t>
      </w:r>
    </w:p>
    <w:p w:rsidR="00BA2BB8" w:rsidRPr="009D2269" w:rsidRDefault="00712DC6" w:rsidP="00712DC6">
      <w:pPr>
        <w:pBdr>
          <w:top w:val="single" w:sz="4" w:space="2"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X1 18.5 hours part time permanent.</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521F55">
        <w:rPr>
          <w:rFonts w:ascii="Calibri" w:hAnsi="Calibri" w:cs="Calibri"/>
          <w:b/>
          <w:sz w:val="22"/>
          <w:szCs w:val="22"/>
        </w:rPr>
        <w:t>VBSS17.18</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521F55" w:rsidRDefault="006B0FAA" w:rsidP="00F57439">
      <w:pPr>
        <w:jc w:val="both"/>
        <w:rPr>
          <w:rFonts w:ascii="Calibri" w:hAnsi="Calibri" w:cs="Arial"/>
          <w:b/>
          <w:bCs/>
          <w:sz w:val="22"/>
          <w:szCs w:val="22"/>
          <w:lang w:val="en"/>
        </w:rPr>
      </w:pPr>
      <w:r w:rsidRPr="00521F55">
        <w:rPr>
          <w:rFonts w:ascii="Calibri" w:hAnsi="Calibri" w:cs="Arial"/>
          <w:b/>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4F0275" w:rsidRDefault="006B0FAA" w:rsidP="00F57439">
      <w:pPr>
        <w:jc w:val="both"/>
        <w:rPr>
          <w:rFonts w:ascii="Calibri" w:hAnsi="Calibri" w:cs="Arial"/>
          <w:bCs/>
          <w:sz w:val="22"/>
          <w:szCs w:val="22"/>
          <w:lang w:val="en"/>
        </w:rPr>
      </w:pPr>
    </w:p>
    <w:p w:rsidR="00D67994" w:rsidRDefault="00521F55" w:rsidP="00F57439">
      <w:pPr>
        <w:jc w:val="both"/>
        <w:rPr>
          <w:rFonts w:asciiTheme="majorHAnsi" w:hAnsiTheme="majorHAnsi"/>
          <w:b/>
          <w:bCs/>
        </w:rPr>
      </w:pPr>
      <w:r>
        <w:rPr>
          <w:rFonts w:asciiTheme="majorHAnsi" w:hAnsiTheme="majorHAnsi"/>
          <w:b/>
          <w:bCs/>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521F55" w:rsidRPr="004F0275" w:rsidRDefault="00521F55" w:rsidP="00F57439">
      <w:pPr>
        <w:jc w:val="both"/>
        <w:rPr>
          <w:rFonts w:ascii="Calibri" w:hAnsi="Calibri" w:cs="Arial"/>
          <w:bCs/>
          <w:sz w:val="22"/>
          <w:szCs w:val="22"/>
          <w:lang w:val="en"/>
        </w:rPr>
      </w:pPr>
    </w:p>
    <w:p w:rsidR="00D67994" w:rsidRPr="004F0275" w:rsidRDefault="00D67994" w:rsidP="00F57439">
      <w:pPr>
        <w:jc w:val="both"/>
        <w:rPr>
          <w:rFonts w:ascii="Calibri" w:hAnsi="Calibri" w:cs="Arial"/>
          <w:b/>
          <w:bCs/>
          <w:sz w:val="22"/>
          <w:szCs w:val="22"/>
        </w:rPr>
      </w:pPr>
      <w:r w:rsidRPr="004F0275">
        <w:rPr>
          <w:rFonts w:ascii="Calibri" w:hAnsi="Calibr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 </w:t>
            </w:r>
            <w:r w:rsidR="00C76C82">
              <w:rPr>
                <w:rFonts w:ascii="Calibri" w:hAnsi="Calibri" w:cs="Calibri"/>
                <w:b/>
                <w:sz w:val="22"/>
                <w:szCs w:val="22"/>
              </w:rPr>
              <w:t>essential</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lastRenderedPageBreak/>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lastRenderedPageBreak/>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E24AAC">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ED7C34">
        <w:rPr>
          <w:rFonts w:ascii="Calibri" w:hAnsi="Calibri" w:cs="Calibri"/>
          <w:sz w:val="22"/>
          <w:szCs w:val="22"/>
        </w:rPr>
        <w:t>Curriculum Apprentice Led</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Default="00521F55" w:rsidP="00000016">
      <w:pPr>
        <w:ind w:right="-142"/>
        <w:rPr>
          <w:rFonts w:ascii="Calibri" w:hAnsi="Calibri" w:cs="Calibri"/>
          <w:b/>
          <w:sz w:val="22"/>
          <w:szCs w:val="22"/>
          <w:u w:val="single"/>
        </w:rPr>
      </w:pPr>
      <w:r>
        <w:rPr>
          <w:rFonts w:ascii="Calibri" w:hAnsi="Calibri" w:cs="Calibri"/>
          <w:b/>
          <w:sz w:val="22"/>
          <w:szCs w:val="22"/>
          <w:u w:val="single"/>
        </w:rPr>
        <w:t>Terms &amp; condition</w:t>
      </w:r>
    </w:p>
    <w:p w:rsidR="00521F55" w:rsidRPr="00875642" w:rsidRDefault="00521F55" w:rsidP="00000016">
      <w:pPr>
        <w:ind w:right="-142"/>
        <w:rPr>
          <w:rFonts w:ascii="Calibri" w:hAnsi="Calibri" w:cs="Calibri"/>
          <w:b/>
          <w:sz w:val="22"/>
          <w:szCs w:val="22"/>
          <w:u w:val="single"/>
        </w:rPr>
      </w:pPr>
    </w:p>
    <w:p w:rsidR="00521F55" w:rsidRDefault="00521F55" w:rsidP="00521F55">
      <w:pPr>
        <w:jc w:val="both"/>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4510CA">
        <w:rPr>
          <w:rFonts w:ascii="Calibri" w:hAnsi="Calibri" w:cs="Calibri"/>
          <w:sz w:val="22"/>
          <w:szCs w:val="22"/>
        </w:rPr>
        <w:t xml:space="preserve">The post is offered on a </w:t>
      </w:r>
      <w:r>
        <w:rPr>
          <w:rFonts w:ascii="Calibri" w:hAnsi="Calibri" w:cs="Calibri"/>
          <w:sz w:val="22"/>
          <w:szCs w:val="22"/>
        </w:rPr>
        <w:t>Vision Business Support Service contract.</w:t>
      </w:r>
    </w:p>
    <w:p w:rsidR="00521F55" w:rsidRDefault="00521F55" w:rsidP="00521F55">
      <w:pPr>
        <w:jc w:val="both"/>
        <w:rPr>
          <w:rFonts w:ascii="Calibri" w:hAnsi="Calibri" w:cs="Calibri"/>
          <w:sz w:val="22"/>
          <w:szCs w:val="22"/>
        </w:rPr>
      </w:pPr>
    </w:p>
    <w:p w:rsidR="00521F55" w:rsidRPr="00D374DB" w:rsidRDefault="00521F55" w:rsidP="00521F55">
      <w:pPr>
        <w:jc w:val="both"/>
        <w:rPr>
          <w:rFonts w:ascii="Calibri" w:hAnsi="Calibri" w:cs="Calibri"/>
          <w:i/>
          <w:sz w:val="22"/>
          <w:szCs w:val="22"/>
        </w:rPr>
      </w:pPr>
      <w:r>
        <w:rPr>
          <w:rFonts w:ascii="Calibri" w:hAnsi="Calibri" w:cs="Calibri"/>
          <w:sz w:val="22"/>
          <w:szCs w:val="22"/>
        </w:rPr>
        <w:t>b)</w:t>
      </w:r>
      <w:r>
        <w:rPr>
          <w:rFonts w:ascii="Calibri" w:hAnsi="Calibri" w:cs="Calibri"/>
          <w:sz w:val="22"/>
          <w:szCs w:val="22"/>
        </w:rPr>
        <w:tab/>
      </w:r>
      <w:r w:rsidRPr="006D2B6C">
        <w:rPr>
          <w:rFonts w:ascii="Calibri" w:hAnsi="Calibri" w:cs="Calibri"/>
          <w:sz w:val="22"/>
          <w:szCs w:val="22"/>
        </w:rPr>
        <w:t xml:space="preserve">The salary will be </w:t>
      </w:r>
      <w:r>
        <w:rPr>
          <w:noProof/>
        </w:rPr>
        <mc:AlternateContent>
          <mc:Choice Requires="wps">
            <w:drawing>
              <wp:anchor distT="0" distB="0" distL="114300" distR="114300" simplePos="0" relativeHeight="251664384" behindDoc="0" locked="0" layoutInCell="1" allowOverlap="1" wp14:anchorId="068CA29F" wp14:editId="5C4766B5">
                <wp:simplePos x="0" y="0"/>
                <wp:positionH relativeFrom="column">
                  <wp:posOffset>-5210175</wp:posOffset>
                </wp:positionH>
                <wp:positionV relativeFrom="paragraph">
                  <wp:posOffset>-400050</wp:posOffset>
                </wp:positionV>
                <wp:extent cx="41148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55" w:rsidRDefault="00521F55" w:rsidP="00521F55">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CA29F" id="_x0000_t202" coordsize="21600,21600" o:spt="202" path="m,l,21600r21600,l21600,xe">
                <v:stroke joinstyle="miter"/>
                <v:path gradientshapeok="t" o:connecttype="rect"/>
              </v:shapetype>
              <v:shape id="Text Box 12" o:spid="_x0000_s1028" type="#_x0000_t202" style="position:absolute;left:0;text-align:left;margin-left:-410.25pt;margin-top:-31.5pt;width:32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xNtQIAAMI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EwRcTbUCAADC&#10;BQAADgAAAAAAAAAAAAAAAAAuAgAAZHJzL2Uyb0RvYy54bWxQSwECLQAUAAYACAAAACEAquJPO98A&#10;AAAMAQAADwAAAAAAAAAAAAAAAAAPBQAAZHJzL2Rvd25yZXYueG1sUEsFBgAAAAAEAAQA8wAAABsG&#10;AAAAAA==&#10;" filled="f" stroked="f">
                <v:textbox>
                  <w:txbxContent>
                    <w:p w:rsidR="00521F55" w:rsidRDefault="00521F55" w:rsidP="00521F55">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A3C0964" wp14:editId="2C4120CA">
                <wp:simplePos x="0" y="0"/>
                <wp:positionH relativeFrom="column">
                  <wp:posOffset>-5210175</wp:posOffset>
                </wp:positionH>
                <wp:positionV relativeFrom="paragraph">
                  <wp:posOffset>-571500</wp:posOffset>
                </wp:positionV>
                <wp:extent cx="4114800" cy="800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55" w:rsidRDefault="00521F55" w:rsidP="00521F55">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C0964" id="Text Box 10" o:spid="_x0000_s1029" type="#_x0000_t202" style="position:absolute;left:0;text-align:left;margin-left:-410.25pt;margin-top:-45pt;width:324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pftQIAAMI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CA/al+1AgAA&#10;wgUAAA4AAAAAAAAAAAAAAAAALgIAAGRycy9lMm9Eb2MueG1sUEsBAi0AFAAGAAgAAAAhAGLWG/vg&#10;AAAADAEAAA8AAAAAAAAAAAAAAAAADwUAAGRycy9kb3ducmV2LnhtbFBLBQYAAAAABAAEAPMAAAAc&#10;BgAAAAA=&#10;" filled="f" stroked="f">
                <v:textbox>
                  <w:txbxContent>
                    <w:p w:rsidR="00521F55" w:rsidRDefault="00521F55" w:rsidP="00521F55">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w:drawing>
          <wp:anchor distT="0" distB="0" distL="114300" distR="114300" simplePos="0" relativeHeight="251666432" behindDoc="1" locked="0" layoutInCell="1" allowOverlap="1" wp14:anchorId="5993A898" wp14:editId="10B7A670">
            <wp:simplePos x="0" y="0"/>
            <wp:positionH relativeFrom="column">
              <wp:posOffset>-5324475</wp:posOffset>
            </wp:positionH>
            <wp:positionV relativeFrom="paragraph">
              <wp:posOffset>-1547495</wp:posOffset>
            </wp:positionV>
            <wp:extent cx="2015490" cy="4006850"/>
            <wp:effectExtent l="0" t="0" r="3810" b="0"/>
            <wp:wrapNone/>
            <wp:docPr id="8" name="Picture 8"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£26,129.00 per annum.</w:t>
      </w:r>
    </w:p>
    <w:p w:rsidR="00521F55" w:rsidRDefault="00521F55" w:rsidP="00521F55">
      <w:pPr>
        <w:jc w:val="both"/>
        <w:rPr>
          <w:rFonts w:ascii="Calibri" w:hAnsi="Calibri" w:cs="Calibri"/>
          <w:sz w:val="22"/>
          <w:szCs w:val="22"/>
        </w:rPr>
      </w:pPr>
    </w:p>
    <w:p w:rsidR="00521F55" w:rsidRDefault="00521F55" w:rsidP="00521F55">
      <w:pPr>
        <w:jc w:val="both"/>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Pr="00B32625">
        <w:rPr>
          <w:rFonts w:ascii="Calibri" w:hAnsi="Calibri" w:cs="Calibri"/>
          <w:sz w:val="22"/>
          <w:szCs w:val="22"/>
        </w:rPr>
        <w:t xml:space="preserve">You will be required to </w:t>
      </w:r>
      <w:r w:rsidRPr="00545DDF">
        <w:rPr>
          <w:rFonts w:ascii="Calibri" w:hAnsi="Calibri" w:cs="Calibri"/>
          <w:sz w:val="22"/>
          <w:szCs w:val="22"/>
        </w:rPr>
        <w:t xml:space="preserve">work </w:t>
      </w:r>
      <w:r>
        <w:rPr>
          <w:rFonts w:ascii="Calibri" w:hAnsi="Calibri" w:cs="Calibri"/>
          <w:sz w:val="22"/>
          <w:szCs w:val="22"/>
        </w:rPr>
        <w:t xml:space="preserve">37 </w:t>
      </w:r>
      <w:r w:rsidRPr="00B32625">
        <w:rPr>
          <w:rFonts w:ascii="Calibri" w:hAnsi="Calibri" w:cs="Calibri"/>
          <w:sz w:val="22"/>
          <w:szCs w:val="22"/>
        </w:rPr>
        <w:t>hou</w:t>
      </w:r>
      <w:r>
        <w:rPr>
          <w:rFonts w:ascii="Calibri" w:hAnsi="Calibri" w:cs="Calibri"/>
          <w:sz w:val="22"/>
          <w:szCs w:val="22"/>
        </w:rPr>
        <w:t>rs per week on a flexible basis.</w:t>
      </w:r>
    </w:p>
    <w:p w:rsidR="00521F55" w:rsidRDefault="00521F55" w:rsidP="00521F55">
      <w:pPr>
        <w:jc w:val="both"/>
        <w:rPr>
          <w:rFonts w:ascii="Calibri" w:hAnsi="Calibri" w:cs="Calibri"/>
          <w:sz w:val="22"/>
          <w:szCs w:val="22"/>
        </w:rPr>
      </w:pPr>
    </w:p>
    <w:p w:rsidR="00521F55" w:rsidRDefault="00521F55" w:rsidP="00521F55">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Pr>
          <w:rFonts w:ascii="Calibri" w:hAnsi="Calibri" w:cs="Calibri"/>
          <w:sz w:val="22"/>
          <w:szCs w:val="22"/>
        </w:rPr>
        <w:t>25</w:t>
      </w:r>
      <w:r w:rsidRPr="006B0FAA">
        <w:rPr>
          <w:rFonts w:ascii="Calibri" w:hAnsi="Calibri" w:cs="Calibri"/>
          <w:sz w:val="22"/>
          <w:szCs w:val="22"/>
        </w:rPr>
        <w:t xml:space="preserve"> days leave, plus bank holidays.</w:t>
      </w:r>
    </w:p>
    <w:p w:rsidR="00521F55" w:rsidRDefault="00521F55" w:rsidP="00521F55">
      <w:pPr>
        <w:tabs>
          <w:tab w:val="left" w:pos="2049"/>
        </w:tabs>
        <w:jc w:val="both"/>
        <w:rPr>
          <w:rFonts w:ascii="Calibri" w:hAnsi="Calibri" w:cs="Calibri"/>
          <w:sz w:val="22"/>
          <w:szCs w:val="22"/>
        </w:rPr>
      </w:pPr>
      <w:r>
        <w:rPr>
          <w:rFonts w:ascii="Calibri" w:hAnsi="Calibri" w:cs="Calibri"/>
          <w:sz w:val="22"/>
          <w:szCs w:val="22"/>
        </w:rPr>
        <w:tab/>
      </w:r>
    </w:p>
    <w:p w:rsidR="00521F55" w:rsidRDefault="00521F55" w:rsidP="00521F55">
      <w:pPr>
        <w:ind w:left="709" w:hanging="709"/>
        <w:jc w:val="both"/>
        <w:rPr>
          <w:rFonts w:ascii="Calibri" w:hAnsi="Calibri" w:cs="Calibri"/>
          <w:sz w:val="22"/>
          <w:szCs w:val="22"/>
        </w:rPr>
      </w:pPr>
      <w:r>
        <w:rPr>
          <w:rFonts w:ascii="Calibri" w:hAnsi="Calibri" w:cs="Calibri"/>
          <w:sz w:val="22"/>
          <w:szCs w:val="22"/>
        </w:rPr>
        <w:t>e)</w:t>
      </w:r>
      <w:r>
        <w:rPr>
          <w:rFonts w:ascii="Calibri" w:hAnsi="Calibri" w:cs="Calibri"/>
          <w:sz w:val="22"/>
          <w:szCs w:val="22"/>
        </w:rPr>
        <w:tab/>
      </w:r>
      <w:r w:rsidRPr="004510CA">
        <w:rPr>
          <w:rFonts w:ascii="Calibri" w:hAnsi="Calibri" w:cs="Calibri"/>
          <w:sz w:val="22"/>
          <w:szCs w:val="22"/>
        </w:rPr>
        <w:t xml:space="preserve">The </w:t>
      </w:r>
      <w:r>
        <w:rPr>
          <w:rFonts w:ascii="Calibri" w:hAnsi="Calibri" w:cs="Calibri"/>
          <w:sz w:val="22"/>
          <w:szCs w:val="22"/>
        </w:rPr>
        <w:t>c</w:t>
      </w:r>
      <w:r w:rsidRPr="004510CA">
        <w:rPr>
          <w:rFonts w:ascii="Calibri" w:hAnsi="Calibri" w:cs="Calibri"/>
          <w:sz w:val="22"/>
          <w:szCs w:val="22"/>
        </w:rPr>
        <w:t xml:space="preserve">ollege operates a </w:t>
      </w:r>
      <w:r w:rsidRPr="00ED4662">
        <w:rPr>
          <w:rFonts w:ascii="Calibri" w:hAnsi="Calibri" w:cs="Calibri"/>
          <w:sz w:val="22"/>
          <w:szCs w:val="22"/>
        </w:rPr>
        <w:t>Scottish Widows Group Personal Pension Plan.</w:t>
      </w:r>
    </w:p>
    <w:p w:rsidR="00521F55" w:rsidRDefault="00521F55" w:rsidP="00521F55">
      <w:pPr>
        <w:ind w:left="709" w:hanging="709"/>
        <w:jc w:val="both"/>
        <w:rPr>
          <w:rFonts w:ascii="Calibri" w:hAnsi="Calibri" w:cs="Calibri"/>
          <w:sz w:val="22"/>
          <w:szCs w:val="22"/>
        </w:rPr>
      </w:pPr>
    </w:p>
    <w:p w:rsidR="00521F55" w:rsidRDefault="00521F55" w:rsidP="00521F55">
      <w:pPr>
        <w:ind w:left="709" w:hanging="709"/>
        <w:jc w:val="both"/>
        <w:rPr>
          <w:rFonts w:ascii="Calibri" w:hAnsi="Calibri" w:cs="Calibri"/>
          <w:sz w:val="22"/>
          <w:szCs w:val="22"/>
        </w:rPr>
      </w:pPr>
      <w:r>
        <w:rPr>
          <w:rFonts w:ascii="Calibri" w:hAnsi="Calibri" w:cs="Calibri"/>
          <w:sz w:val="22"/>
          <w:szCs w:val="22"/>
        </w:rPr>
        <w:t>f)</w:t>
      </w:r>
      <w:r>
        <w:rPr>
          <w:rFonts w:ascii="Calibri" w:hAnsi="Calibri" w:cs="Calibri"/>
          <w:sz w:val="22"/>
          <w:szCs w:val="22"/>
        </w:rPr>
        <w:tab/>
      </w:r>
      <w:r w:rsidRPr="004D6541">
        <w:rPr>
          <w:rFonts w:ascii="Calibri" w:hAnsi="Calibri" w:cs="Calibri"/>
          <w:sz w:val="22"/>
          <w:szCs w:val="22"/>
        </w:rPr>
        <w:t>The post holder may be located at any West Nottinghamshire College Site and</w:t>
      </w:r>
      <w:r>
        <w:rPr>
          <w:rFonts w:ascii="Calibri" w:hAnsi="Calibri" w:cs="Calibri"/>
          <w:sz w:val="22"/>
          <w:szCs w:val="22"/>
        </w:rPr>
        <w:t xml:space="preserve"> will </w:t>
      </w:r>
      <w:r w:rsidRPr="004D6541">
        <w:rPr>
          <w:rFonts w:ascii="Calibri" w:hAnsi="Calibri" w:cs="Calibri"/>
          <w:sz w:val="22"/>
          <w:szCs w:val="22"/>
        </w:rPr>
        <w:t>be expected to travel as required.  You will however be given reasonable notice of any change in your principal place of work and be fully consulted.</w:t>
      </w:r>
    </w:p>
    <w:p w:rsidR="00D374DB" w:rsidRDefault="00D374DB" w:rsidP="00FE5039">
      <w:pPr>
        <w:ind w:left="709" w:hanging="709"/>
        <w:jc w:val="both"/>
        <w:rPr>
          <w:rFonts w:ascii="Calibri" w:hAnsi="Calibri" w:cs="Calibri"/>
          <w:sz w:val="22"/>
          <w:szCs w:val="22"/>
        </w:rPr>
      </w:pPr>
    </w:p>
    <w:p w:rsidR="00E24AAC" w:rsidRDefault="00E24AAC" w:rsidP="00D374DB">
      <w:pPr>
        <w:ind w:left="709" w:hanging="709"/>
        <w:jc w:val="both"/>
        <w:rPr>
          <w:rFonts w:ascii="Calibri" w:hAnsi="Calibri" w:cs="Calibri"/>
          <w:b/>
          <w:sz w:val="22"/>
          <w:szCs w:val="22"/>
          <w:u w:val="single"/>
        </w:rPr>
      </w:pPr>
    </w:p>
    <w:p w:rsidR="00521F55" w:rsidRDefault="00521F55"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291CF7">
        <w:rPr>
          <w:rFonts w:ascii="Calibri" w:hAnsi="Calibri" w:cs="Calibri"/>
          <w:sz w:val="22"/>
          <w:szCs w:val="22"/>
        </w:rPr>
        <w:t>30</w:t>
      </w:r>
      <w:bookmarkStart w:id="0" w:name="_GoBack"/>
      <w:bookmarkEnd w:id="0"/>
      <w:r w:rsidR="00BD5701" w:rsidRPr="00BD5701">
        <w:rPr>
          <w:rFonts w:ascii="Calibri" w:hAnsi="Calibri" w:cs="Calibri"/>
          <w:sz w:val="22"/>
          <w:szCs w:val="22"/>
          <w:vertAlign w:val="superscript"/>
        </w:rPr>
        <w:t>th</w:t>
      </w:r>
      <w:r w:rsidR="00BD5701">
        <w:rPr>
          <w:rFonts w:ascii="Calibri" w:hAnsi="Calibri" w:cs="Calibri"/>
          <w:sz w:val="22"/>
          <w:szCs w:val="22"/>
        </w:rPr>
        <w:t xml:space="preserve"> March</w:t>
      </w:r>
      <w:r w:rsidR="001B4E43" w:rsidRPr="004A7920">
        <w:rPr>
          <w:rFonts w:ascii="Calibri" w:hAnsi="Calibri" w:cs="Calibri"/>
          <w:sz w:val="22"/>
          <w:szCs w:val="22"/>
        </w:rPr>
        <w:t xml:space="preserve"> 201</w:t>
      </w:r>
      <w:r w:rsidR="007E75B9" w:rsidRPr="004A7920">
        <w:rPr>
          <w:rFonts w:ascii="Calibri" w:hAnsi="Calibri" w:cs="Calibri"/>
          <w:sz w:val="22"/>
          <w:szCs w:val="22"/>
        </w:rPr>
        <w:t>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291CF7"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685" w:rsidRDefault="00881685">
      <w:r>
        <w:separator/>
      </w:r>
    </w:p>
  </w:endnote>
  <w:endnote w:type="continuationSeparator" w:id="0">
    <w:p w:rsidR="00881685" w:rsidRDefault="0088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685" w:rsidRDefault="00881685">
      <w:r>
        <w:separator/>
      </w:r>
    </w:p>
  </w:footnote>
  <w:footnote w:type="continuationSeparator" w:id="0">
    <w:p w:rsidR="00881685" w:rsidRDefault="00881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54E74" w:rsidP="003B0476">
    <w:pPr>
      <w:pStyle w:val="Header"/>
      <w:jc w:val="right"/>
      <w:rPr>
        <w:rFonts w:ascii="Arial" w:hAnsi="Arial" w:cs="Arial"/>
        <w:color w:val="000000"/>
        <w:sz w:val="19"/>
        <w:szCs w:val="19"/>
        <w:lang w:val="en"/>
      </w:rPr>
    </w:pPr>
  </w:p>
  <w:p w:rsidR="00D54E74" w:rsidRDefault="00521F55" w:rsidP="00954247">
    <w:pPr>
      <w:pStyle w:val="Header"/>
    </w:pPr>
    <w:r>
      <w:rPr>
        <w:rFonts w:ascii="Arial" w:hAnsi="Arial" w:cs="Arial"/>
        <w:noProof/>
        <w:color w:val="000000"/>
        <w:sz w:val="19"/>
        <w:szCs w:val="19"/>
      </w:rPr>
      <w:drawing>
        <wp:anchor distT="0" distB="0" distL="114300" distR="114300" simplePos="0" relativeHeight="251659264" behindDoc="1" locked="0" layoutInCell="1" allowOverlap="1" wp14:anchorId="0DFA9A75" wp14:editId="62042AD5">
          <wp:simplePos x="0" y="0"/>
          <wp:positionH relativeFrom="margin">
            <wp:posOffset>4505325</wp:posOffset>
          </wp:positionH>
          <wp:positionV relativeFrom="paragraph">
            <wp:posOffset>95250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A9279D" w:rsidRDefault="00A9279D" w:rsidP="00C346F6">
    <w:pPr>
      <w:pStyle w:val="Header"/>
      <w:jc w:val="right"/>
    </w:pPr>
  </w:p>
  <w:p w:rsidR="00521F55" w:rsidRDefault="00521F55" w:rsidP="00C346F6">
    <w:pPr>
      <w:pStyle w:val="Header"/>
      <w:jc w:val="right"/>
    </w:pPr>
  </w:p>
  <w:p w:rsidR="00521F55" w:rsidRDefault="00521F55" w:rsidP="00C346F6">
    <w:pPr>
      <w:pStyle w:val="Header"/>
      <w:jc w:val="right"/>
    </w:pPr>
  </w:p>
  <w:p w:rsidR="00521F55" w:rsidRDefault="00521F55" w:rsidP="00C346F6">
    <w:pPr>
      <w:pStyle w:val="Header"/>
      <w:jc w:val="right"/>
    </w:pPr>
  </w:p>
  <w:p w:rsidR="00521F55" w:rsidRDefault="00521F55" w:rsidP="00C346F6">
    <w:pPr>
      <w:pStyle w:val="Header"/>
      <w:jc w:val="right"/>
    </w:pPr>
  </w:p>
  <w:p w:rsidR="00521F55" w:rsidRDefault="00521F55" w:rsidP="00C346F6">
    <w:pPr>
      <w:pStyle w:val="Header"/>
      <w:jc w:val="right"/>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1CF7"/>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21F55"/>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D66F3"/>
    <w:rsid w:val="006E151F"/>
    <w:rsid w:val="006F29DF"/>
    <w:rsid w:val="006F763A"/>
    <w:rsid w:val="00705C53"/>
    <w:rsid w:val="00706EFB"/>
    <w:rsid w:val="00711335"/>
    <w:rsid w:val="00712DC6"/>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346F6"/>
    <w:rsid w:val="00C429E8"/>
    <w:rsid w:val="00C51996"/>
    <w:rsid w:val="00C56AA1"/>
    <w:rsid w:val="00C60FC3"/>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2BB"/>
    <w:rsid w:val="00DE2C91"/>
    <w:rsid w:val="00DF5640"/>
    <w:rsid w:val="00DF6E69"/>
    <w:rsid w:val="00DF724E"/>
    <w:rsid w:val="00E055D7"/>
    <w:rsid w:val="00E15642"/>
    <w:rsid w:val="00E210D2"/>
    <w:rsid w:val="00E24AAC"/>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635B-C15A-4838-B101-136CE8BB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16916</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8</cp:revision>
  <cp:lastPrinted>2009-11-23T10:48:00Z</cp:lastPrinted>
  <dcterms:created xsi:type="dcterms:W3CDTF">2017-03-08T08:57:00Z</dcterms:created>
  <dcterms:modified xsi:type="dcterms:W3CDTF">2017-03-16T09:17:00Z</dcterms:modified>
</cp:coreProperties>
</file>